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1"/>
        <w:contextualSpacing w:val="0"/>
        <w:rPr>
          <w:sz w:val="32"/>
          <w:szCs w:val="32"/>
        </w:rPr>
      </w:pPr>
      <w:r w:rsidDel="00000000" w:rsidR="00000000" w:rsidRPr="00000000">
        <w:rPr>
          <w:sz w:val="32"/>
          <w:szCs w:val="32"/>
          <w:rtl w:val="0"/>
        </w:rPr>
        <w:t xml:space="preserve">ENMA 465 Microprocessing of Materials, Spring 2018</w:t>
      </w:r>
    </w:p>
    <w:p w:rsidR="00000000" w:rsidDel="00000000" w:rsidP="00000000" w:rsidRDefault="00000000" w:rsidRPr="00000000" w14:paraId="00000001">
      <w:pPr>
        <w:contextualSpacing w:val="0"/>
        <w:rPr/>
      </w:pPr>
      <w:r w:rsidDel="00000000" w:rsidR="00000000" w:rsidRPr="00000000">
        <w:rPr>
          <w:sz w:val="24"/>
          <w:szCs w:val="24"/>
          <w:rtl w:val="0"/>
        </w:rPr>
        <w:t xml:space="preserve">Dept of Materials Science and Engineering </w:t>
      </w:r>
      <w:r w:rsidDel="00000000" w:rsidR="00000000" w:rsidRPr="00000000">
        <w:rPr>
          <w:rtl w:val="0"/>
        </w:rPr>
      </w:r>
    </w:p>
    <w:p w:rsidR="00000000" w:rsidDel="00000000" w:rsidP="00000000" w:rsidRDefault="00000000" w:rsidRPr="00000000" w14:paraId="00000002">
      <w:pPr>
        <w:pStyle w:val="Heading1"/>
        <w:contextualSpacing w:val="0"/>
        <w:rPr/>
      </w:pPr>
      <w:r w:rsidDel="00000000" w:rsidR="00000000" w:rsidRPr="00000000">
        <w:rPr>
          <w:rtl w:val="0"/>
        </w:rPr>
        <w:t xml:space="preserve">Mon &amp; Wed 3:30-4:45pm</w:t>
      </w:r>
    </w:p>
    <w:p w:rsidR="00000000" w:rsidDel="00000000" w:rsidP="00000000" w:rsidRDefault="00000000" w:rsidRPr="00000000" w14:paraId="00000003">
      <w:pPr>
        <w:pStyle w:val="Heading1"/>
        <w:contextualSpacing w:val="0"/>
        <w:rPr>
          <w:sz w:val="22"/>
          <w:szCs w:val="22"/>
        </w:rPr>
      </w:pPr>
      <w:r w:rsidDel="00000000" w:rsidR="00000000" w:rsidRPr="00000000">
        <w:rPr>
          <w:rtl w:val="0"/>
        </w:rPr>
        <w:t xml:space="preserve">Room 2324</w:t>
      </w:r>
      <w:r w:rsidDel="00000000" w:rsidR="00000000" w:rsidRPr="00000000">
        <w:rPr>
          <w:sz w:val="22"/>
          <w:szCs w:val="22"/>
          <w:rtl w:val="0"/>
        </w:rPr>
        <w:t xml:space="preserve"> technology classroom (</w:t>
      </w:r>
      <w:hyperlink r:id="rId6">
        <w:r w:rsidDel="00000000" w:rsidR="00000000" w:rsidRPr="00000000">
          <w:rPr>
            <w:b w:val="0"/>
            <w:color w:val="0000ff"/>
            <w:sz w:val="22"/>
            <w:szCs w:val="22"/>
            <w:u w:val="single"/>
            <w:rtl w:val="0"/>
          </w:rPr>
          <w:t xml:space="preserve">google map</w:t>
        </w:r>
      </w:hyperlink>
      <w:r w:rsidDel="00000000" w:rsidR="00000000" w:rsidRPr="00000000">
        <w:rPr>
          <w:sz w:val="22"/>
          <w:szCs w:val="22"/>
          <w:rtl w:val="0"/>
        </w:rPr>
        <w:t xml:space="preserve">)</w:t>
      </w:r>
    </w:p>
    <w:p w:rsidR="00000000" w:rsidDel="00000000" w:rsidP="00000000" w:rsidRDefault="00000000" w:rsidRPr="00000000" w14:paraId="00000004">
      <w:pPr>
        <w:pStyle w:val="Heading1"/>
        <w:contextualSpacing w:val="0"/>
        <w:rPr/>
      </w:pPr>
      <w:r w:rsidDel="00000000" w:rsidR="00000000" w:rsidRPr="00000000">
        <w:rPr>
          <w:rtl w:val="0"/>
        </w:rPr>
        <w:t xml:space="preserve">Atlantic Bldg (ATL, Bldg 224)</w:t>
      </w:r>
    </w:p>
    <w:p w:rsidR="00000000" w:rsidDel="00000000" w:rsidP="00000000" w:rsidRDefault="00000000" w:rsidRPr="00000000" w14:paraId="00000005">
      <w:pPr>
        <w:contextualSpacing w:val="0"/>
        <w:rPr/>
      </w:pPr>
      <w:r w:rsidDel="00000000" w:rsidR="00000000" w:rsidRPr="00000000">
        <w:rPr>
          <w:rtl w:val="0"/>
        </w:rPr>
      </w:r>
    </w:p>
    <w:p w:rsidR="00000000" w:rsidDel="00000000" w:rsidP="00000000" w:rsidRDefault="00000000" w:rsidRPr="00000000" w14:paraId="00000006">
      <w:pPr>
        <w:contextualSpacing w:val="0"/>
        <w:rPr/>
      </w:pPr>
      <w:r w:rsidDel="00000000" w:rsidR="00000000" w:rsidRPr="00000000">
        <w:rPr>
          <w:b w:val="1"/>
          <w:rtl w:val="0"/>
        </w:rPr>
        <w:t xml:space="preserve">Course Website on CANVAS</w:t>
      </w:r>
      <w:r w:rsidDel="00000000" w:rsidR="00000000" w:rsidRPr="00000000">
        <w:rPr>
          <w:rtl w:val="0"/>
        </w:rPr>
        <w:t xml:space="preserve">: </w:t>
      </w:r>
      <w:hyperlink r:id="rId7">
        <w:r w:rsidDel="00000000" w:rsidR="00000000" w:rsidRPr="00000000">
          <w:rPr>
            <w:color w:val="0000ff"/>
            <w:u w:val="single"/>
            <w:rtl w:val="0"/>
          </w:rPr>
          <w:t xml:space="preserve">https://myelms.umd.edu/courses/1179073</w:t>
        </w:r>
      </w:hyperlink>
      <w:r w:rsidDel="00000000" w:rsidR="00000000" w:rsidRPr="00000000">
        <w:rPr>
          <w:rtl w:val="0"/>
        </w:rPr>
        <w:t xml:space="preserve"> </w:t>
      </w:r>
    </w:p>
    <w:p w:rsidR="00000000" w:rsidDel="00000000" w:rsidP="00000000" w:rsidRDefault="00000000" w:rsidRPr="00000000" w14:paraId="00000007">
      <w:pPr>
        <w:contextualSpacing w:val="0"/>
        <w:rPr/>
      </w:pPr>
      <w:r w:rsidDel="00000000" w:rsidR="00000000" w:rsidRPr="00000000">
        <w:rPr>
          <w:rtl w:val="0"/>
        </w:rPr>
      </w:r>
    </w:p>
    <w:tbl>
      <w:tblPr>
        <w:tblStyle w:val="Table1"/>
        <w:tblW w:w="7308.0" w:type="dxa"/>
        <w:jc w:val="left"/>
        <w:tblInd w:w="57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428"/>
        <w:gridCol w:w="2880"/>
        <w:tblGridChange w:id="0">
          <w:tblGrid>
            <w:gridCol w:w="4428"/>
            <w:gridCol w:w="2880"/>
          </w:tblGrid>
        </w:tblGridChange>
      </w:tblGrid>
      <w:tr>
        <w:tc>
          <w:tcPr/>
          <w:p w:rsidR="00000000" w:rsidDel="00000000" w:rsidP="00000000" w:rsidRDefault="00000000" w:rsidRPr="00000000" w14:paraId="00000008">
            <w:pPr>
              <w:pStyle w:val="Heading1"/>
              <w:contextualSpacing w:val="0"/>
              <w:rPr/>
            </w:pPr>
            <w:r w:rsidDel="00000000" w:rsidR="00000000" w:rsidRPr="00000000">
              <w:rPr>
                <w:rtl w:val="0"/>
              </w:rPr>
              <w:t xml:space="preserve">Instructor: </w:t>
            </w:r>
          </w:p>
          <w:p w:rsidR="00000000" w:rsidDel="00000000" w:rsidP="00000000" w:rsidRDefault="00000000" w:rsidRPr="00000000" w14:paraId="00000009">
            <w:pPr>
              <w:contextualSpacing w:val="0"/>
              <w:rPr/>
            </w:pPr>
            <w:r w:rsidDel="00000000" w:rsidR="00000000" w:rsidRPr="00000000">
              <w:rPr>
                <w:rtl w:val="0"/>
              </w:rPr>
              <w:t xml:space="preserve">Prof. Gary Rubloff, </w:t>
            </w:r>
            <w:hyperlink r:id="rId8">
              <w:r w:rsidDel="00000000" w:rsidR="00000000" w:rsidRPr="00000000">
                <w:rPr>
                  <w:color w:val="0000ff"/>
                  <w:u w:val="single"/>
                  <w:rtl w:val="0"/>
                </w:rPr>
                <w:t xml:space="preserve">rubloff@umd.edu</w:t>
              </w:r>
            </w:hyperlink>
            <w:r w:rsidDel="00000000" w:rsidR="00000000" w:rsidRPr="00000000">
              <w:rPr>
                <w:rtl w:val="0"/>
              </w:rPr>
              <w:t xml:space="preserve">, </w:t>
            </w:r>
          </w:p>
          <w:p w:rsidR="00000000" w:rsidDel="00000000" w:rsidP="00000000" w:rsidRDefault="00000000" w:rsidRPr="00000000" w14:paraId="0000000A">
            <w:pPr>
              <w:contextualSpacing w:val="0"/>
              <w:rPr/>
            </w:pPr>
            <w:bookmarkStart w:colFirst="0" w:colLast="0" w:name="_gjdgxs" w:id="0"/>
            <w:bookmarkEnd w:id="0"/>
            <w:r w:rsidDel="00000000" w:rsidR="00000000" w:rsidRPr="00000000">
              <w:rPr>
                <w:rtl w:val="0"/>
              </w:rPr>
              <w:t xml:space="preserve">301-405-3011</w:t>
            </w:r>
          </w:p>
          <w:p w:rsidR="00000000" w:rsidDel="00000000" w:rsidP="00000000" w:rsidRDefault="00000000" w:rsidRPr="00000000" w14:paraId="0000000B">
            <w:pPr>
              <w:contextualSpacing w:val="0"/>
              <w:rPr/>
            </w:pPr>
            <w:r w:rsidDel="00000000" w:rsidR="00000000" w:rsidRPr="00000000">
              <w:rPr>
                <w:rtl w:val="0"/>
              </w:rPr>
              <w:t xml:space="preserve">Office: Kim 1128, hours by appointment</w:t>
            </w:r>
          </w:p>
          <w:p w:rsidR="00000000" w:rsidDel="00000000" w:rsidP="00000000" w:rsidRDefault="00000000" w:rsidRPr="00000000" w14:paraId="0000000C">
            <w:pPr>
              <w:contextualSpacing w:val="0"/>
              <w:rPr/>
            </w:pPr>
            <w:r w:rsidDel="00000000" w:rsidR="00000000" w:rsidRPr="00000000">
              <w:rPr>
                <w:rtl w:val="0"/>
              </w:rPr>
              <w:t xml:space="preserve">Director, Maryland NanoCenter</w:t>
            </w:r>
          </w:p>
          <w:p w:rsidR="00000000" w:rsidDel="00000000" w:rsidP="00000000" w:rsidRDefault="00000000" w:rsidRPr="00000000" w14:paraId="0000000D">
            <w:pPr>
              <w:contextualSpacing w:val="0"/>
              <w:rPr/>
            </w:pPr>
            <w:r w:rsidDel="00000000" w:rsidR="00000000" w:rsidRPr="00000000">
              <w:rPr>
                <w:rtl w:val="0"/>
              </w:rPr>
              <w:t xml:space="preserve">Director, Nanostructures for Electrical Energy Storage NEES), a DOE EFRC</w:t>
            </w:r>
          </w:p>
        </w:tc>
        <w:tc>
          <w:tcPr/>
          <w:p w:rsidR="00000000" w:rsidDel="00000000" w:rsidP="00000000" w:rsidRDefault="00000000" w:rsidRPr="00000000" w14:paraId="0000000E">
            <w:pPr>
              <w:pStyle w:val="Heading1"/>
              <w:contextualSpacing w:val="0"/>
              <w:rPr/>
            </w:pPr>
            <w:r w:rsidDel="00000000" w:rsidR="00000000" w:rsidRPr="00000000">
              <w:rPr/>
              <w:drawing>
                <wp:inline distB="0" distT="0" distL="0" distR="0">
                  <wp:extent cx="1600200" cy="1714500"/>
                  <wp:effectExtent b="0" l="0" r="0" t="0"/>
                  <wp:docPr descr="ZC4U3996" id="1" name="image4.jpg"/>
                  <a:graphic>
                    <a:graphicData uri="http://schemas.openxmlformats.org/drawingml/2006/picture">
                      <pic:pic>
                        <pic:nvPicPr>
                          <pic:cNvPr descr="ZC4U3996" id="0" name="image4.jpg"/>
                          <pic:cNvPicPr preferRelativeResize="0"/>
                        </pic:nvPicPr>
                        <pic:blipFill>
                          <a:blip r:embed="rId9"/>
                          <a:srcRect b="0" l="0" r="0" t="0"/>
                          <a:stretch>
                            <a:fillRect/>
                          </a:stretch>
                        </pic:blipFill>
                        <pic:spPr>
                          <a:xfrm>
                            <a:off x="0" y="0"/>
                            <a:ext cx="1600200" cy="1714500"/>
                          </a:xfrm>
                          <a:prstGeom prst="rect"/>
                          <a:ln/>
                        </pic:spPr>
                      </pic:pic>
                    </a:graphicData>
                  </a:graphic>
                </wp:inline>
              </w:drawing>
            </w:r>
            <w:r w:rsidDel="00000000" w:rsidR="00000000" w:rsidRPr="00000000">
              <w:rPr>
                <w:rtl w:val="0"/>
              </w:rPr>
            </w:r>
          </w:p>
        </w:tc>
      </w:tr>
      <w:tr>
        <w:tc>
          <w:tcPr/>
          <w:p w:rsidR="00000000" w:rsidDel="00000000" w:rsidP="00000000" w:rsidRDefault="00000000" w:rsidRPr="00000000" w14:paraId="0000000F">
            <w:pPr>
              <w:pStyle w:val="Heading1"/>
              <w:contextualSpacing w:val="0"/>
              <w:rPr/>
            </w:pPr>
            <w:r w:rsidDel="00000000" w:rsidR="00000000" w:rsidRPr="00000000">
              <w:rPr>
                <w:rtl w:val="0"/>
              </w:rPr>
              <w:t xml:space="preserve">Teaching Assistant:</w:t>
            </w:r>
          </w:p>
          <w:p w:rsidR="00000000" w:rsidDel="00000000" w:rsidP="00000000" w:rsidRDefault="00000000" w:rsidRPr="00000000" w14:paraId="00000010">
            <w:pPr>
              <w:contextualSpacing w:val="0"/>
              <w:rPr/>
            </w:pPr>
            <w:r w:rsidDel="00000000" w:rsidR="00000000" w:rsidRPr="00000000">
              <w:rPr>
                <w:rtl w:val="0"/>
              </w:rPr>
              <w:t xml:space="preserve">Megan Kimicata, </w:t>
            </w:r>
            <w:hyperlink r:id="rId10">
              <w:r w:rsidDel="00000000" w:rsidR="00000000" w:rsidRPr="00000000">
                <w:rPr>
                  <w:color w:val="0000ff"/>
                  <w:u w:val="single"/>
                  <w:rtl w:val="0"/>
                </w:rPr>
                <w:t xml:space="preserve">mak5467@terpmail.umd.edu</w:t>
              </w:r>
            </w:hyperlink>
            <w:r w:rsidDel="00000000" w:rsidR="00000000" w:rsidRPr="00000000">
              <w:rPr>
                <w:rtl w:val="0"/>
              </w:rPr>
            </w:r>
          </w:p>
          <w:p w:rsidR="00000000" w:rsidDel="00000000" w:rsidP="00000000" w:rsidRDefault="00000000" w:rsidRPr="00000000" w14:paraId="00000011">
            <w:pPr>
              <w:contextualSpacing w:val="0"/>
              <w:rPr/>
            </w:pPr>
            <w:r w:rsidDel="00000000" w:rsidR="00000000" w:rsidRPr="00000000">
              <w:rPr>
                <w:rtl w:val="0"/>
              </w:rPr>
              <w:t xml:space="preserve">Office: Kim Bldg 2241</w:t>
            </w:r>
          </w:p>
          <w:p w:rsidR="00000000" w:rsidDel="00000000" w:rsidP="00000000" w:rsidRDefault="00000000" w:rsidRPr="00000000" w14:paraId="00000012">
            <w:pPr>
              <w:contextualSpacing w:val="0"/>
              <w:rPr/>
            </w:pPr>
            <w:r w:rsidDel="00000000" w:rsidR="00000000" w:rsidRPr="00000000">
              <w:rPr>
                <w:rtl w:val="0"/>
              </w:rPr>
              <w:t xml:space="preserve">Office hours – send email</w:t>
            </w:r>
          </w:p>
          <w:p w:rsidR="00000000" w:rsidDel="00000000" w:rsidP="00000000" w:rsidRDefault="00000000" w:rsidRPr="00000000" w14:paraId="00000013">
            <w:pPr>
              <w:pStyle w:val="Heading1"/>
              <w:ind w:firstLine="720"/>
              <w:contextualSpacing w:val="0"/>
              <w:rPr/>
            </w:pPr>
            <w:r w:rsidDel="00000000" w:rsidR="00000000" w:rsidRPr="00000000">
              <w:rPr>
                <w:rtl w:val="0"/>
              </w:rPr>
            </w:r>
          </w:p>
        </w:tc>
        <w:tc>
          <w:tcPr/>
          <w:p w:rsidR="00000000" w:rsidDel="00000000" w:rsidP="00000000" w:rsidRDefault="00000000" w:rsidRPr="00000000" w14:paraId="00000014">
            <w:pPr>
              <w:pStyle w:val="Heading1"/>
              <w:contextualSpacing w:val="0"/>
              <w:rPr/>
            </w:pPr>
            <w:r w:rsidDel="00000000" w:rsidR="00000000" w:rsidRPr="00000000">
              <w:rPr/>
              <w:drawing>
                <wp:inline distB="0" distT="0" distL="0" distR="0">
                  <wp:extent cx="1538048" cy="1710262"/>
                  <wp:effectExtent b="0" l="0" r="0" t="0"/>
                  <wp:docPr id="3" name="image7.png"/>
                  <a:graphic>
                    <a:graphicData uri="http://schemas.openxmlformats.org/drawingml/2006/picture">
                      <pic:pic>
                        <pic:nvPicPr>
                          <pic:cNvPr id="0" name="image7.png"/>
                          <pic:cNvPicPr preferRelativeResize="0"/>
                        </pic:nvPicPr>
                        <pic:blipFill>
                          <a:blip r:embed="rId11"/>
                          <a:srcRect b="0" l="0" r="0" t="0"/>
                          <a:stretch>
                            <a:fillRect/>
                          </a:stretch>
                        </pic:blipFill>
                        <pic:spPr>
                          <a:xfrm>
                            <a:off x="0" y="0"/>
                            <a:ext cx="1538048" cy="1710262"/>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15">
      <w:pPr>
        <w:pStyle w:val="Heading1"/>
        <w:contextualSpacing w:val="0"/>
        <w:rPr/>
      </w:pPr>
      <w:r w:rsidDel="00000000" w:rsidR="00000000" w:rsidRPr="00000000">
        <w:rPr>
          <w:rtl w:val="0"/>
        </w:rPr>
        <w:t xml:space="preserve">Synopsis</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36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goal of the course is to familiarize the students with basic as well as state of the art knowledge of technologically relevant topics in microprocessing and nanoprocessing as used in the semiconductor and related industries to fabricate ultrathin material layers, structures, and devices. Key processes are discussed in the context of their underlying physics and chemistry and how they influence the resulting materials properties. Concepts of process and device integration will be highlighted because fundamental interactions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between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process steps play a particularly important role in determining the performance of micron and nanometer sized structures. These sources of understanding provide a strong background for applications ranging from evolutionary semiconductor device technology to recent developments and opportunities in nanotechnology for energy, biotechnology, electronics, sensing, and other materials applications.  </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36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basic framework of the course content comprises the set of deposition, patterning, etching, and planarization processes required to make small 3-dimensional devices.  The students will develop skills in identifying, understanding, and exploiting basic mechanisms in microprocessing and gain a broad perspective on how this knowledge can be used industrial applications of microprocessing.  The course will include laboratory sessions in the Maryland NanoCenter’s FabLab clean room and an exercise in process and device design.</w:t>
      </w:r>
    </w:p>
    <w:p w:rsidR="00000000" w:rsidDel="00000000" w:rsidP="00000000" w:rsidRDefault="00000000" w:rsidRPr="00000000" w14:paraId="00000018">
      <w:pPr>
        <w:contextualSpacing w:val="0"/>
        <w:rPr/>
      </w:pPr>
      <w:r w:rsidDel="00000000" w:rsidR="00000000" w:rsidRPr="00000000">
        <w:rPr>
          <w:rtl w:val="0"/>
        </w:rPr>
      </w:r>
    </w:p>
    <w:p w:rsidR="00000000" w:rsidDel="00000000" w:rsidP="00000000" w:rsidRDefault="00000000" w:rsidRPr="00000000" w14:paraId="00000019">
      <w:pPr>
        <w:pStyle w:val="Heading1"/>
        <w:contextualSpacing w:val="0"/>
        <w:rPr/>
      </w:pPr>
      <w:r w:rsidDel="00000000" w:rsidR="00000000" w:rsidRPr="00000000">
        <w:rPr>
          <w:rtl w:val="0"/>
        </w:rPr>
        <w:t xml:space="preserve">Course Objectives:</w:t>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20" w:line="240" w:lineRule="auto"/>
        <w:ind w:left="360" w:right="0" w:hanging="360"/>
        <w:contextualSpacing w:val="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Provide an overview of thin film microprocessing, from chemical and physical fundamentals at the microscopic level to applications in microelectronics, nanotechnology, and other areas.</w:t>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20" w:line="240" w:lineRule="auto"/>
        <w:ind w:left="360" w:right="0" w:hanging="360"/>
        <w:contextualSpacing w:val="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Identify and understand key concepts which transcend the various embodiments of microprocessing, so that students will be able to recognize the role of these concepts in diverse applications.</w:t>
      </w:r>
    </w:p>
    <w:p w:rsidR="00000000" w:rsidDel="00000000" w:rsidP="00000000" w:rsidRDefault="00000000" w:rsidRPr="00000000" w14:paraId="0000001C">
      <w:pPr>
        <w:contextualSpacing w:val="0"/>
        <w:rPr>
          <w:color w:val="000000"/>
        </w:rPr>
      </w:pPr>
      <w:r w:rsidDel="00000000" w:rsidR="00000000" w:rsidRPr="00000000">
        <w:rPr>
          <w:rtl w:val="0"/>
        </w:rPr>
      </w:r>
    </w:p>
    <w:p w:rsidR="00000000" w:rsidDel="00000000" w:rsidP="00000000" w:rsidRDefault="00000000" w:rsidRPr="00000000" w14:paraId="0000001D">
      <w:pPr>
        <w:contextualSpacing w:val="0"/>
        <w:rPr/>
      </w:pPr>
      <w:r w:rsidDel="00000000" w:rsidR="00000000" w:rsidRPr="00000000">
        <w:rPr>
          <w:b w:val="1"/>
          <w:rtl w:val="0"/>
        </w:rPr>
        <w:t xml:space="preserve">Lectures</w:t>
      </w:r>
      <w:r w:rsidDel="00000000" w:rsidR="00000000" w:rsidRPr="00000000">
        <w:rPr>
          <w:rtl w:val="0"/>
        </w:rPr>
        <w:t xml:space="preserve"> will focus on topics covered in lecture notes (distributed after class) and the textbook, supplemented by other resources.</w:t>
      </w:r>
    </w:p>
    <w:p w:rsidR="00000000" w:rsidDel="00000000" w:rsidP="00000000" w:rsidRDefault="00000000" w:rsidRPr="00000000" w14:paraId="0000001E">
      <w:pPr>
        <w:contextualSpacing w:val="0"/>
        <w:rPr/>
      </w:pPr>
      <w:r w:rsidDel="00000000" w:rsidR="00000000" w:rsidRPr="00000000">
        <w:rPr>
          <w:rtl w:val="0"/>
        </w:rPr>
      </w:r>
    </w:p>
    <w:p w:rsidR="00000000" w:rsidDel="00000000" w:rsidP="00000000" w:rsidRDefault="00000000" w:rsidRPr="00000000" w14:paraId="0000001F">
      <w:pPr>
        <w:contextualSpacing w:val="0"/>
        <w:rPr/>
      </w:pPr>
      <w:r w:rsidDel="00000000" w:rsidR="00000000" w:rsidRPr="00000000">
        <w:rPr>
          <w:b w:val="1"/>
          <w:rtl w:val="0"/>
        </w:rPr>
        <w:t xml:space="preserve">Homework</w:t>
      </w:r>
      <w:r w:rsidDel="00000000" w:rsidR="00000000" w:rsidRPr="00000000">
        <w:rPr>
          <w:rtl w:val="0"/>
        </w:rPr>
        <w:t xml:space="preserve"> </w:t>
      </w:r>
      <w:r w:rsidDel="00000000" w:rsidR="00000000" w:rsidRPr="00000000">
        <w:rPr>
          <w:b w:val="1"/>
          <w:rtl w:val="0"/>
        </w:rPr>
        <w:t xml:space="preserve">and exams</w:t>
      </w:r>
      <w:r w:rsidDel="00000000" w:rsidR="00000000" w:rsidRPr="00000000">
        <w:rPr>
          <w:rtl w:val="0"/>
        </w:rPr>
        <w:t xml:space="preserve"> will be based on materials covered in lectures and reading assignments. </w:t>
      </w:r>
    </w:p>
    <w:p w:rsidR="00000000" w:rsidDel="00000000" w:rsidP="00000000" w:rsidRDefault="00000000" w:rsidRPr="00000000" w14:paraId="00000020">
      <w:pPr>
        <w:contextualSpacing w:val="0"/>
        <w:rPr/>
      </w:pPr>
      <w:r w:rsidDel="00000000" w:rsidR="00000000" w:rsidRPr="00000000">
        <w:rPr>
          <w:rtl w:val="0"/>
        </w:rPr>
      </w:r>
    </w:p>
    <w:p w:rsidR="00000000" w:rsidDel="00000000" w:rsidP="00000000" w:rsidRDefault="00000000" w:rsidRPr="00000000" w14:paraId="00000021">
      <w:pPr>
        <w:contextualSpacing w:val="0"/>
        <w:rPr/>
      </w:pPr>
      <w:r w:rsidDel="00000000" w:rsidR="00000000" w:rsidRPr="00000000">
        <w:rPr>
          <w:b w:val="1"/>
          <w:rtl w:val="0"/>
        </w:rPr>
        <w:t xml:space="preserve">Lab exercise – microfabrication of cantilever devices</w:t>
      </w:r>
      <w:r w:rsidDel="00000000" w:rsidR="00000000" w:rsidRPr="00000000">
        <w:rPr>
          <w:rtl w:val="0"/>
        </w:rPr>
        <w:t xml:space="preserve">. The course will include a ~4 week laboratory exercise where students will fabricate and then characterize microcantilever device structures.  The class will be divided into groups of 5-6 students each, with each group assigned to a morning (9-12) or afternoon (12:30-3:30) session in FabLab. The lab exercises will be taught by FabLab staff. Students should pay attention and take notes during the lab so that they are prepared for questions on the lab exercise, either in in-class quiz or final exam. </w:t>
      </w:r>
    </w:p>
    <w:p w:rsidR="00000000" w:rsidDel="00000000" w:rsidP="00000000" w:rsidRDefault="00000000" w:rsidRPr="00000000" w14:paraId="00000022">
      <w:pPr>
        <w:contextualSpacing w:val="0"/>
        <w:rPr/>
      </w:pPr>
      <w:r w:rsidDel="00000000" w:rsidR="00000000" w:rsidRPr="00000000">
        <w:rPr>
          <w:rtl w:val="0"/>
        </w:rPr>
      </w:r>
    </w:p>
    <w:p w:rsidR="00000000" w:rsidDel="00000000" w:rsidP="00000000" w:rsidRDefault="00000000" w:rsidRPr="00000000" w14:paraId="00000023">
      <w:pPr>
        <w:contextualSpacing w:val="0"/>
        <w:rPr/>
      </w:pPr>
      <w:r w:rsidDel="00000000" w:rsidR="00000000" w:rsidRPr="00000000">
        <w:rPr>
          <w:b w:val="1"/>
          <w:rtl w:val="0"/>
        </w:rPr>
        <w:t xml:space="preserve">Design exercise – process and mask design</w:t>
      </w:r>
      <w:r w:rsidDel="00000000" w:rsidR="00000000" w:rsidRPr="00000000">
        <w:rPr>
          <w:rtl w:val="0"/>
        </w:rPr>
        <w:t xml:space="preserve">. To complement the lab exercise, students will work in their lab teams to specify a sequence of process steps and a set of lithography mask designs that could be use to fabricate a different device, a bottom-gate thin film transistor.  The mask design will be done using AutoCAD, whose use will be taught earlier in the course.</w:t>
      </w:r>
    </w:p>
    <w:p w:rsidR="00000000" w:rsidDel="00000000" w:rsidP="00000000" w:rsidRDefault="00000000" w:rsidRPr="00000000" w14:paraId="00000024">
      <w:pPr>
        <w:contextualSpacing w:val="0"/>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2"/>
        <w:tblW w:w="4129.0" w:type="dxa"/>
        <w:jc w:val="left"/>
        <w:tblInd w:w="7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400"/>
      </w:tblPr>
      <w:tblGrid>
        <w:gridCol w:w="2824"/>
        <w:gridCol w:w="1305"/>
        <w:tblGridChange w:id="0">
          <w:tblGrid>
            <w:gridCol w:w="2824"/>
            <w:gridCol w:w="1305"/>
          </w:tblGrid>
        </w:tblGridChange>
      </w:tblGrid>
      <w:tr>
        <w:tc>
          <w:tcPr>
            <w:shd w:fill="ffffff" w:val="clear"/>
            <w:tcMar>
              <w:top w:w="30.0" w:type="dxa"/>
              <w:left w:w="30.0" w:type="dxa"/>
              <w:bottom w:w="30.0" w:type="dxa"/>
              <w:right w:w="30.0" w:type="dxa"/>
            </w:tcMar>
            <w:vAlign w:val="center"/>
          </w:tcPr>
          <w:p w:rsidR="00000000" w:rsidDel="00000000" w:rsidP="00000000" w:rsidRDefault="00000000" w:rsidRPr="00000000" w14:paraId="00000026">
            <w:pPr>
              <w:contextualSpacing w:val="0"/>
              <w:rPr>
                <w:color w:val="333333"/>
              </w:rPr>
            </w:pPr>
            <w:r w:rsidDel="00000000" w:rsidR="00000000" w:rsidRPr="00000000">
              <w:rPr>
                <w:b w:val="1"/>
                <w:color w:val="000000"/>
                <w:sz w:val="27"/>
                <w:szCs w:val="27"/>
                <w:rtl w:val="0"/>
              </w:rPr>
              <w:t xml:space="preserve">Grading</w:t>
            </w:r>
            <w:r w:rsidDel="00000000" w:rsidR="00000000" w:rsidRPr="00000000">
              <w:rPr>
                <w:rtl w:val="0"/>
              </w:rPr>
            </w:r>
          </w:p>
        </w:tc>
        <w:tc>
          <w:tcPr>
            <w:shd w:fill="ffffff" w:val="clear"/>
            <w:tcMar>
              <w:top w:w="30.0" w:type="dxa"/>
              <w:left w:w="30.0" w:type="dxa"/>
              <w:bottom w:w="30.0" w:type="dxa"/>
              <w:right w:w="30.0" w:type="dxa"/>
            </w:tcMar>
            <w:vAlign w:val="center"/>
          </w:tcPr>
          <w:p w:rsidR="00000000" w:rsidDel="00000000" w:rsidP="00000000" w:rsidRDefault="00000000" w:rsidRPr="00000000" w14:paraId="00000027">
            <w:pPr>
              <w:contextualSpacing w:val="0"/>
              <w:jc w:val="center"/>
              <w:rPr>
                <w:color w:val="333333"/>
              </w:rPr>
            </w:pPr>
            <w:r w:rsidDel="00000000" w:rsidR="00000000" w:rsidRPr="00000000">
              <w:rPr>
                <w:b w:val="1"/>
                <w:color w:val="333333"/>
                <w:rtl w:val="0"/>
              </w:rPr>
              <w:t xml:space="preserve"> Weight</w:t>
            </w:r>
            <w:r w:rsidDel="00000000" w:rsidR="00000000" w:rsidRPr="00000000">
              <w:rPr>
                <w:rtl w:val="0"/>
              </w:rPr>
            </w:r>
          </w:p>
        </w:tc>
      </w:tr>
      <w:tr>
        <w:tc>
          <w:tcPr>
            <w:shd w:fill="ffffff" w:val="clear"/>
            <w:tcMar>
              <w:top w:w="30.0" w:type="dxa"/>
              <w:left w:w="30.0" w:type="dxa"/>
              <w:bottom w:w="30.0" w:type="dxa"/>
              <w:right w:w="30.0" w:type="dxa"/>
            </w:tcMar>
            <w:vAlign w:val="center"/>
          </w:tcPr>
          <w:p w:rsidR="00000000" w:rsidDel="00000000" w:rsidP="00000000" w:rsidRDefault="00000000" w:rsidRPr="00000000" w14:paraId="00000028">
            <w:pPr>
              <w:contextualSpacing w:val="0"/>
              <w:rPr>
                <w:color w:val="333333"/>
              </w:rPr>
            </w:pPr>
            <w:r w:rsidDel="00000000" w:rsidR="00000000" w:rsidRPr="00000000">
              <w:rPr>
                <w:color w:val="333333"/>
                <w:rtl w:val="0"/>
              </w:rPr>
              <w:t xml:space="preserve">Final exam</w:t>
            </w:r>
          </w:p>
        </w:tc>
        <w:tc>
          <w:tcPr>
            <w:shd w:fill="ffffff" w:val="clear"/>
            <w:tcMar>
              <w:top w:w="30.0" w:type="dxa"/>
              <w:left w:w="30.0" w:type="dxa"/>
              <w:bottom w:w="30.0" w:type="dxa"/>
              <w:right w:w="30.0" w:type="dxa"/>
            </w:tcMar>
            <w:vAlign w:val="center"/>
          </w:tcPr>
          <w:p w:rsidR="00000000" w:rsidDel="00000000" w:rsidP="00000000" w:rsidRDefault="00000000" w:rsidRPr="00000000" w14:paraId="00000029">
            <w:pPr>
              <w:contextualSpacing w:val="0"/>
              <w:jc w:val="center"/>
              <w:rPr>
                <w:color w:val="333333"/>
              </w:rPr>
            </w:pPr>
            <w:r w:rsidDel="00000000" w:rsidR="00000000" w:rsidRPr="00000000">
              <w:rPr>
                <w:color w:val="333333"/>
                <w:rtl w:val="0"/>
              </w:rPr>
              <w:t xml:space="preserve"> 25%</w:t>
            </w:r>
          </w:p>
        </w:tc>
      </w:tr>
      <w:tr>
        <w:tc>
          <w:tcPr>
            <w:shd w:fill="ffffff" w:val="clear"/>
            <w:tcMar>
              <w:top w:w="30.0" w:type="dxa"/>
              <w:left w:w="30.0" w:type="dxa"/>
              <w:bottom w:w="30.0" w:type="dxa"/>
              <w:right w:w="30.0" w:type="dxa"/>
            </w:tcMar>
            <w:vAlign w:val="center"/>
          </w:tcPr>
          <w:p w:rsidR="00000000" w:rsidDel="00000000" w:rsidP="00000000" w:rsidRDefault="00000000" w:rsidRPr="00000000" w14:paraId="0000002A">
            <w:pPr>
              <w:contextualSpacing w:val="0"/>
              <w:rPr>
                <w:color w:val="333333"/>
              </w:rPr>
            </w:pPr>
            <w:r w:rsidDel="00000000" w:rsidR="00000000" w:rsidRPr="00000000">
              <w:rPr>
                <w:color w:val="333333"/>
                <w:rtl w:val="0"/>
              </w:rPr>
              <w:t xml:space="preserve">Quizzes</w:t>
            </w:r>
          </w:p>
        </w:tc>
        <w:tc>
          <w:tcPr>
            <w:shd w:fill="ffffff" w:val="clear"/>
            <w:tcMar>
              <w:top w:w="30.0" w:type="dxa"/>
              <w:left w:w="30.0" w:type="dxa"/>
              <w:bottom w:w="30.0" w:type="dxa"/>
              <w:right w:w="30.0" w:type="dxa"/>
            </w:tcMar>
            <w:vAlign w:val="center"/>
          </w:tcPr>
          <w:p w:rsidR="00000000" w:rsidDel="00000000" w:rsidP="00000000" w:rsidRDefault="00000000" w:rsidRPr="00000000" w14:paraId="0000002B">
            <w:pPr>
              <w:contextualSpacing w:val="0"/>
              <w:jc w:val="center"/>
              <w:rPr>
                <w:color w:val="333333"/>
              </w:rPr>
            </w:pPr>
            <w:r w:rsidDel="00000000" w:rsidR="00000000" w:rsidRPr="00000000">
              <w:rPr>
                <w:color w:val="333333"/>
                <w:rtl w:val="0"/>
              </w:rPr>
              <w:t xml:space="preserve"> 20%</w:t>
            </w:r>
          </w:p>
        </w:tc>
      </w:tr>
      <w:tr>
        <w:tc>
          <w:tcPr>
            <w:shd w:fill="ffffff" w:val="clear"/>
            <w:tcMar>
              <w:top w:w="30.0" w:type="dxa"/>
              <w:left w:w="30.0" w:type="dxa"/>
              <w:bottom w:w="30.0" w:type="dxa"/>
              <w:right w:w="30.0" w:type="dxa"/>
            </w:tcMar>
            <w:vAlign w:val="center"/>
          </w:tcPr>
          <w:p w:rsidR="00000000" w:rsidDel="00000000" w:rsidP="00000000" w:rsidRDefault="00000000" w:rsidRPr="00000000" w14:paraId="0000002C">
            <w:pPr>
              <w:contextualSpacing w:val="0"/>
              <w:rPr>
                <w:color w:val="333333"/>
              </w:rPr>
            </w:pPr>
            <w:r w:rsidDel="00000000" w:rsidR="00000000" w:rsidRPr="00000000">
              <w:rPr>
                <w:color w:val="333333"/>
                <w:rtl w:val="0"/>
              </w:rPr>
              <w:t xml:space="preserve">Homework </w:t>
            </w:r>
          </w:p>
        </w:tc>
        <w:tc>
          <w:tcPr>
            <w:shd w:fill="ffffff" w:val="clear"/>
            <w:tcMar>
              <w:top w:w="30.0" w:type="dxa"/>
              <w:left w:w="30.0" w:type="dxa"/>
              <w:bottom w:w="30.0" w:type="dxa"/>
              <w:right w:w="30.0" w:type="dxa"/>
            </w:tcMar>
            <w:vAlign w:val="center"/>
          </w:tcPr>
          <w:p w:rsidR="00000000" w:rsidDel="00000000" w:rsidP="00000000" w:rsidRDefault="00000000" w:rsidRPr="00000000" w14:paraId="0000002D">
            <w:pPr>
              <w:contextualSpacing w:val="0"/>
              <w:jc w:val="center"/>
              <w:rPr>
                <w:color w:val="333333"/>
              </w:rPr>
            </w:pPr>
            <w:r w:rsidDel="00000000" w:rsidR="00000000" w:rsidRPr="00000000">
              <w:rPr>
                <w:color w:val="333333"/>
                <w:rtl w:val="0"/>
              </w:rPr>
              <w:t xml:space="preserve"> 20%</w:t>
            </w:r>
          </w:p>
        </w:tc>
      </w:tr>
      <w:tr>
        <w:tc>
          <w:tcPr>
            <w:shd w:fill="ffffff" w:val="clear"/>
            <w:tcMar>
              <w:top w:w="30.0" w:type="dxa"/>
              <w:left w:w="30.0" w:type="dxa"/>
              <w:bottom w:w="30.0" w:type="dxa"/>
              <w:right w:w="30.0" w:type="dxa"/>
            </w:tcMar>
            <w:vAlign w:val="center"/>
          </w:tcPr>
          <w:p w:rsidR="00000000" w:rsidDel="00000000" w:rsidP="00000000" w:rsidRDefault="00000000" w:rsidRPr="00000000" w14:paraId="0000002E">
            <w:pPr>
              <w:contextualSpacing w:val="0"/>
              <w:rPr>
                <w:color w:val="333333"/>
              </w:rPr>
            </w:pPr>
            <w:r w:rsidDel="00000000" w:rsidR="00000000" w:rsidRPr="00000000">
              <w:rPr>
                <w:color w:val="333333"/>
                <w:rtl w:val="0"/>
              </w:rPr>
              <w:t xml:space="preserve">Design project</w:t>
            </w:r>
          </w:p>
        </w:tc>
        <w:tc>
          <w:tcPr>
            <w:shd w:fill="ffffff" w:val="clear"/>
            <w:tcMar>
              <w:top w:w="30.0" w:type="dxa"/>
              <w:left w:w="30.0" w:type="dxa"/>
              <w:bottom w:w="30.0" w:type="dxa"/>
              <w:right w:w="30.0" w:type="dxa"/>
            </w:tcMar>
            <w:vAlign w:val="center"/>
          </w:tcPr>
          <w:p w:rsidR="00000000" w:rsidDel="00000000" w:rsidP="00000000" w:rsidRDefault="00000000" w:rsidRPr="00000000" w14:paraId="0000002F">
            <w:pPr>
              <w:contextualSpacing w:val="0"/>
              <w:jc w:val="center"/>
              <w:rPr>
                <w:color w:val="333333"/>
              </w:rPr>
            </w:pPr>
            <w:r w:rsidDel="00000000" w:rsidR="00000000" w:rsidRPr="00000000">
              <w:rPr>
                <w:color w:val="333333"/>
                <w:rtl w:val="0"/>
              </w:rPr>
              <w:t xml:space="preserve"> 25%</w:t>
            </w:r>
          </w:p>
        </w:tc>
      </w:tr>
      <w:tr>
        <w:tc>
          <w:tcPr>
            <w:shd w:fill="ffffff" w:val="clear"/>
            <w:tcMar>
              <w:top w:w="30.0" w:type="dxa"/>
              <w:left w:w="30.0" w:type="dxa"/>
              <w:bottom w:w="30.0" w:type="dxa"/>
              <w:right w:w="30.0" w:type="dxa"/>
            </w:tcMar>
            <w:vAlign w:val="center"/>
          </w:tcPr>
          <w:p w:rsidR="00000000" w:rsidDel="00000000" w:rsidP="00000000" w:rsidRDefault="00000000" w:rsidRPr="00000000" w14:paraId="00000030">
            <w:pPr>
              <w:contextualSpacing w:val="0"/>
              <w:rPr>
                <w:color w:val="333333"/>
              </w:rPr>
            </w:pPr>
            <w:r w:rsidDel="00000000" w:rsidR="00000000" w:rsidRPr="00000000">
              <w:rPr>
                <w:color w:val="333333"/>
                <w:rtl w:val="0"/>
              </w:rPr>
              <w:t xml:space="preserve">Class participation</w:t>
            </w:r>
          </w:p>
        </w:tc>
        <w:tc>
          <w:tcPr>
            <w:shd w:fill="ffffff" w:val="clear"/>
            <w:tcMar>
              <w:top w:w="30.0" w:type="dxa"/>
              <w:left w:w="30.0" w:type="dxa"/>
              <w:bottom w:w="30.0" w:type="dxa"/>
              <w:right w:w="30.0" w:type="dxa"/>
            </w:tcMar>
            <w:vAlign w:val="center"/>
          </w:tcPr>
          <w:p w:rsidR="00000000" w:rsidDel="00000000" w:rsidP="00000000" w:rsidRDefault="00000000" w:rsidRPr="00000000" w14:paraId="00000031">
            <w:pPr>
              <w:contextualSpacing w:val="0"/>
              <w:jc w:val="center"/>
              <w:rPr>
                <w:color w:val="333333"/>
              </w:rPr>
            </w:pPr>
            <w:r w:rsidDel="00000000" w:rsidR="00000000" w:rsidRPr="00000000">
              <w:rPr>
                <w:color w:val="333333"/>
                <w:rtl w:val="0"/>
              </w:rPr>
              <w:t xml:space="preserve">  10%</w:t>
            </w:r>
          </w:p>
        </w:tc>
      </w:tr>
    </w:tbl>
    <w:p w:rsidR="00000000" w:rsidDel="00000000" w:rsidP="00000000" w:rsidRDefault="00000000" w:rsidRPr="00000000" w14:paraId="00000032">
      <w:pPr>
        <w:contextualSpacing w:val="0"/>
        <w:rPr/>
      </w:pPr>
      <w:r w:rsidDel="00000000" w:rsidR="00000000" w:rsidRPr="00000000">
        <w:rPr>
          <w:rtl w:val="0"/>
        </w:rPr>
      </w:r>
    </w:p>
    <w:p w:rsidR="00000000" w:rsidDel="00000000" w:rsidP="00000000" w:rsidRDefault="00000000" w:rsidRPr="00000000" w14:paraId="00000033">
      <w:pPr>
        <w:pStyle w:val="Heading1"/>
        <w:contextualSpacing w:val="0"/>
        <w:rPr/>
      </w:pPr>
      <w:r w:rsidDel="00000000" w:rsidR="00000000" w:rsidRPr="00000000">
        <w:rPr>
          <w:rtl w:val="0"/>
        </w:rPr>
      </w:r>
    </w:p>
    <w:p w:rsidR="00000000" w:rsidDel="00000000" w:rsidP="00000000" w:rsidRDefault="00000000" w:rsidRPr="00000000" w14:paraId="00000034">
      <w:pPr>
        <w:contextualSpacing w:val="0"/>
        <w:rPr/>
      </w:pPr>
      <w:r w:rsidDel="00000000" w:rsidR="00000000" w:rsidRPr="00000000">
        <w:rPr>
          <w:rtl w:val="0"/>
        </w:rPr>
      </w:r>
    </w:p>
    <w:p w:rsidR="00000000" w:rsidDel="00000000" w:rsidP="00000000" w:rsidRDefault="00000000" w:rsidRPr="00000000" w14:paraId="00000035">
      <w:pPr>
        <w:contextualSpacing w:val="0"/>
        <w:rPr>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36">
      <w:pPr>
        <w:pStyle w:val="Heading1"/>
        <w:contextualSpacing w:val="0"/>
        <w:rPr/>
      </w:pPr>
      <w:r w:rsidDel="00000000" w:rsidR="00000000" w:rsidRPr="00000000">
        <w:rPr>
          <w:rtl w:val="0"/>
        </w:rPr>
        <w:t xml:space="preserve">Resources:</w:t>
      </w:r>
    </w:p>
    <w:p w:rsidR="00000000" w:rsidDel="00000000" w:rsidP="00000000" w:rsidRDefault="00000000" w:rsidRPr="00000000" w14:paraId="00000037">
      <w:pPr>
        <w:contextualSpacing w:val="0"/>
        <w:rPr/>
      </w:pPr>
      <w:r w:rsidDel="00000000" w:rsidR="00000000" w:rsidRPr="00000000">
        <w:rPr>
          <w:rtl w:val="0"/>
        </w:rPr>
      </w:r>
    </w:p>
    <w:p w:rsidR="00000000" w:rsidDel="00000000" w:rsidP="00000000" w:rsidRDefault="00000000" w:rsidRPr="00000000" w14:paraId="00000038">
      <w:pPr>
        <w:contextualSpacing w:val="0"/>
        <w:rPr/>
      </w:pPr>
      <w:r w:rsidDel="00000000" w:rsidR="00000000" w:rsidRPr="00000000">
        <w:rPr>
          <w:b w:val="1"/>
          <w:rtl w:val="0"/>
        </w:rPr>
        <w:t xml:space="preserve">Slides used in lectures will be posted</w:t>
      </w:r>
      <w:r w:rsidDel="00000000" w:rsidR="00000000" w:rsidRPr="00000000">
        <w:rPr>
          <w:rtl w:val="0"/>
        </w:rPr>
        <w:t xml:space="preserve"> on Canvas after each lecture period, representing the primary resource for the course.  </w:t>
      </w:r>
    </w:p>
    <w:p w:rsidR="00000000" w:rsidDel="00000000" w:rsidP="00000000" w:rsidRDefault="00000000" w:rsidRPr="00000000" w14:paraId="00000039">
      <w:pPr>
        <w:contextualSpacing w:val="0"/>
        <w:rPr/>
      </w:pPr>
      <w:r w:rsidDel="00000000" w:rsidR="00000000" w:rsidRPr="00000000">
        <w:rPr>
          <w:rtl w:val="0"/>
        </w:rPr>
      </w:r>
    </w:p>
    <w:p w:rsidR="00000000" w:rsidDel="00000000" w:rsidP="00000000" w:rsidRDefault="00000000" w:rsidRPr="00000000" w14:paraId="0000003A">
      <w:pPr>
        <w:contextualSpacing w:val="0"/>
        <w:rPr/>
      </w:pPr>
      <w:r w:rsidDel="00000000" w:rsidR="00000000" w:rsidRPr="00000000">
        <w:rPr>
          <w:rtl w:val="0"/>
        </w:rPr>
        <w:t xml:space="preserve">The following textbook is recommended as an additional but optional reference for the course.  If you think you have enduring interest in areas that employ microfabrication/microprocessing techniques, this would serve well as a reference beyond the ENMA course.</w:t>
      </w:r>
    </w:p>
    <w:p w:rsidR="00000000" w:rsidDel="00000000" w:rsidP="00000000" w:rsidRDefault="00000000" w:rsidRPr="00000000" w14:paraId="0000003B">
      <w:pPr>
        <w:contextualSpacing w:val="0"/>
        <w:rPr/>
      </w:pPr>
      <w:r w:rsidDel="00000000" w:rsidR="00000000" w:rsidRPr="00000000">
        <w:rPr>
          <w:rtl w:val="0"/>
        </w:rPr>
      </w:r>
    </w:p>
    <w:tbl>
      <w:tblPr>
        <w:tblStyle w:val="Table3"/>
        <w:tblW w:w="8764.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400"/>
      </w:tblPr>
      <w:tblGrid>
        <w:gridCol w:w="4890"/>
        <w:gridCol w:w="3874"/>
        <w:tblGridChange w:id="0">
          <w:tblGrid>
            <w:gridCol w:w="4890"/>
            <w:gridCol w:w="3874"/>
          </w:tblGrid>
        </w:tblGridChange>
      </w:tblGrid>
      <w:tr>
        <w:tc>
          <w:tcPr>
            <w:tcMar>
              <w:top w:w="30.0" w:type="dxa"/>
              <w:left w:w="30.0" w:type="dxa"/>
              <w:bottom w:w="30.0" w:type="dxa"/>
              <w:right w:w="30.0" w:type="dxa"/>
            </w:tcMar>
            <w:vAlign w:val="center"/>
          </w:tcPr>
          <w:p w:rsidR="00000000" w:rsidDel="00000000" w:rsidP="00000000" w:rsidRDefault="00000000" w:rsidRPr="00000000" w14:paraId="0000003C">
            <w:pPr>
              <w:ind w:left="120" w:right="120" w:firstLine="0"/>
              <w:contextualSpacing w:val="0"/>
              <w:rPr>
                <w:color w:val="000000"/>
              </w:rPr>
            </w:pPr>
            <w:r w:rsidDel="00000000" w:rsidR="00000000" w:rsidRPr="00000000">
              <w:rPr>
                <w:b w:val="1"/>
                <w:color w:val="000000"/>
                <w:sz w:val="27"/>
                <w:szCs w:val="27"/>
                <w:rtl w:val="0"/>
              </w:rPr>
              <w:t xml:space="preserve">Required Textbook</w:t>
            </w:r>
            <w:r w:rsidDel="00000000" w:rsidR="00000000" w:rsidRPr="00000000">
              <w:rPr>
                <w:color w:val="000000"/>
                <w:sz w:val="27"/>
                <w:szCs w:val="27"/>
                <w:rtl w:val="0"/>
              </w:rPr>
              <w:br w:type="textWrapping"/>
            </w:r>
            <w:r w:rsidDel="00000000" w:rsidR="00000000" w:rsidRPr="00000000">
              <w:rPr>
                <w:rtl w:val="0"/>
              </w:rPr>
            </w:r>
          </w:p>
          <w:p w:rsidR="00000000" w:rsidDel="00000000" w:rsidP="00000000" w:rsidRDefault="00000000" w:rsidRPr="00000000" w14:paraId="0000003D">
            <w:pPr>
              <w:ind w:left="120" w:right="120" w:firstLine="0"/>
              <w:contextualSpacing w:val="0"/>
              <w:rPr>
                <w:color w:val="000000"/>
              </w:rPr>
            </w:pPr>
            <w:r w:rsidDel="00000000" w:rsidR="00000000" w:rsidRPr="00000000">
              <w:rPr>
                <w:color w:val="000000"/>
                <w:rtl w:val="0"/>
              </w:rPr>
              <w:t xml:space="preserve">Introduction to Microfabrication, 2nd edition, 2010</w:t>
            </w:r>
          </w:p>
          <w:p w:rsidR="00000000" w:rsidDel="00000000" w:rsidP="00000000" w:rsidRDefault="00000000" w:rsidRPr="00000000" w14:paraId="0000003E">
            <w:pPr>
              <w:ind w:left="120" w:right="120" w:firstLine="0"/>
              <w:contextualSpacing w:val="0"/>
              <w:rPr>
                <w:color w:val="000000"/>
              </w:rPr>
            </w:pPr>
            <w:r w:rsidDel="00000000" w:rsidR="00000000" w:rsidRPr="00000000">
              <w:rPr>
                <w:color w:val="000000"/>
                <w:rtl w:val="0"/>
              </w:rPr>
              <w:t xml:space="preserve">Sami Franssila</w:t>
            </w:r>
          </w:p>
          <w:p w:rsidR="00000000" w:rsidDel="00000000" w:rsidP="00000000" w:rsidRDefault="00000000" w:rsidRPr="00000000" w14:paraId="0000003F">
            <w:pPr>
              <w:ind w:left="120" w:right="120" w:firstLine="0"/>
              <w:contextualSpacing w:val="0"/>
              <w:rPr>
                <w:color w:val="000000"/>
              </w:rPr>
            </w:pPr>
            <w:r w:rsidDel="00000000" w:rsidR="00000000" w:rsidRPr="00000000">
              <w:rPr>
                <w:color w:val="000000"/>
                <w:rtl w:val="0"/>
              </w:rPr>
              <w:t xml:space="preserve">Wiley</w:t>
            </w:r>
          </w:p>
          <w:p w:rsidR="00000000" w:rsidDel="00000000" w:rsidP="00000000" w:rsidRDefault="00000000" w:rsidRPr="00000000" w14:paraId="00000040">
            <w:pPr>
              <w:ind w:left="120" w:right="120" w:firstLine="0"/>
              <w:contextualSpacing w:val="0"/>
              <w:rPr>
                <w:color w:val="000000"/>
              </w:rPr>
            </w:pPr>
            <w:r w:rsidDel="00000000" w:rsidR="00000000" w:rsidRPr="00000000">
              <w:rPr>
                <w:rtl w:val="0"/>
              </w:rPr>
            </w:r>
          </w:p>
          <w:p w:rsidR="00000000" w:rsidDel="00000000" w:rsidP="00000000" w:rsidRDefault="00000000" w:rsidRPr="00000000" w14:paraId="00000041">
            <w:pPr>
              <w:ind w:left="120" w:right="120" w:firstLine="0"/>
              <w:contextualSpacing w:val="0"/>
              <w:rPr>
                <w:color w:val="000000"/>
              </w:rPr>
            </w:pPr>
            <w:r w:rsidDel="00000000" w:rsidR="00000000" w:rsidRPr="00000000">
              <w:rPr>
                <w:color w:val="000000"/>
                <w:rtl w:val="0"/>
              </w:rPr>
              <w:t xml:space="preserve">You can purchase it in 3 forms:</w:t>
            </w:r>
          </w:p>
          <w:p w:rsidR="00000000" w:rsidDel="00000000" w:rsidP="00000000" w:rsidRDefault="00000000" w:rsidRPr="00000000" w14:paraId="0000004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80" w:right="12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Hardcover (~$72 new)</w:t>
            </w:r>
          </w:p>
          <w:p w:rsidR="00000000" w:rsidDel="00000000" w:rsidP="00000000" w:rsidRDefault="00000000" w:rsidRPr="00000000" w14:paraId="0000004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80" w:right="12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Kindle e-book (~$60-70)</w:t>
            </w:r>
          </w:p>
          <w:p w:rsidR="00000000" w:rsidDel="00000000" w:rsidP="00000000" w:rsidRDefault="00000000" w:rsidRPr="00000000" w14:paraId="0000004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80" w:right="120" w:hanging="360"/>
              <w:contextualSpacing w:val="1"/>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Apple i-book (~$72)</w:t>
            </w:r>
          </w:p>
          <w:p w:rsidR="00000000" w:rsidDel="00000000" w:rsidP="00000000" w:rsidRDefault="00000000" w:rsidRPr="00000000" w14:paraId="00000045">
            <w:pPr>
              <w:ind w:left="120" w:right="120" w:firstLine="0"/>
              <w:contextualSpacing w:val="0"/>
              <w:rPr>
                <w:color w:val="000000"/>
              </w:rPr>
            </w:pPr>
            <w:r w:rsidDel="00000000" w:rsidR="00000000" w:rsidRPr="00000000">
              <w:rPr>
                <w:rtl w:val="0"/>
              </w:rPr>
            </w:r>
          </w:p>
          <w:p w:rsidR="00000000" w:rsidDel="00000000" w:rsidP="00000000" w:rsidRDefault="00000000" w:rsidRPr="00000000" w14:paraId="00000046">
            <w:pPr>
              <w:ind w:left="120" w:right="120" w:firstLine="0"/>
              <w:contextualSpacing w:val="0"/>
              <w:rPr>
                <w:color w:val="0000ff"/>
              </w:rPr>
            </w:pPr>
            <w:r w:rsidDel="00000000" w:rsidR="00000000" w:rsidRPr="00000000">
              <w:rPr>
                <w:color w:val="0000ff"/>
                <w:rtl w:val="0"/>
              </w:rPr>
              <w:t xml:space="preserve">I recommend the e-book version, allowing annotation and other functions as well as portability. I have purchased the ebook and downloaded it to Mac laptop and iPad successfully from Amazon, demonstrating that you can have copies in multiple places.  I expect the Apple i-Book version will behave similarly.</w:t>
            </w:r>
          </w:p>
          <w:p w:rsidR="00000000" w:rsidDel="00000000" w:rsidP="00000000" w:rsidRDefault="00000000" w:rsidRPr="00000000" w14:paraId="00000047">
            <w:pPr>
              <w:ind w:left="120" w:right="120" w:firstLine="0"/>
              <w:contextualSpacing w:val="0"/>
              <w:rPr>
                <w:rFonts w:ascii="inherit" w:cs="inherit" w:eastAsia="inherit" w:hAnsi="inherit"/>
                <w:color w:val="000000"/>
              </w:rPr>
            </w:pPr>
            <w:r w:rsidDel="00000000" w:rsidR="00000000" w:rsidRPr="00000000">
              <w:rPr>
                <w:rtl w:val="0"/>
              </w:rPr>
            </w:r>
          </w:p>
        </w:tc>
        <w:tc>
          <w:tcPr>
            <w:tcMar>
              <w:top w:w="30.0" w:type="dxa"/>
              <w:left w:w="30.0" w:type="dxa"/>
              <w:bottom w:w="30.0" w:type="dxa"/>
              <w:right w:w="30.0" w:type="dxa"/>
            </w:tcMar>
            <w:vAlign w:val="center"/>
          </w:tcPr>
          <w:p w:rsidR="00000000" w:rsidDel="00000000" w:rsidP="00000000" w:rsidRDefault="00000000" w:rsidRPr="00000000" w14:paraId="00000048">
            <w:pPr>
              <w:spacing w:after="120" w:before="120" w:lineRule="auto"/>
              <w:ind w:left="120" w:right="120" w:firstLine="0"/>
              <w:contextualSpacing w:val="0"/>
              <w:rPr>
                <w:rFonts w:ascii="inherit" w:cs="inherit" w:eastAsia="inherit" w:hAnsi="inherit"/>
                <w:color w:val="000000"/>
              </w:rPr>
            </w:pPr>
            <w:r w:rsidDel="00000000" w:rsidR="00000000" w:rsidRPr="00000000">
              <w:rPr>
                <w:rFonts w:ascii="inherit" w:cs="inherit" w:eastAsia="inherit" w:hAnsi="inherit"/>
                <w:color w:val="000000"/>
              </w:rPr>
              <w:drawing>
                <wp:inline distB="0" distT="0" distL="0" distR="0">
                  <wp:extent cx="1529231" cy="2055736"/>
                  <wp:effectExtent b="0" l="0" r="0" t="0"/>
                  <wp:docPr id="2" name="image6.png"/>
                  <a:graphic>
                    <a:graphicData uri="http://schemas.openxmlformats.org/drawingml/2006/picture">
                      <pic:pic>
                        <pic:nvPicPr>
                          <pic:cNvPr id="0" name="image6.png"/>
                          <pic:cNvPicPr preferRelativeResize="0"/>
                        </pic:nvPicPr>
                        <pic:blipFill>
                          <a:blip r:embed="rId12"/>
                          <a:srcRect b="0" l="0" r="0" t="0"/>
                          <a:stretch>
                            <a:fillRect/>
                          </a:stretch>
                        </pic:blipFill>
                        <pic:spPr>
                          <a:xfrm>
                            <a:off x="0" y="0"/>
                            <a:ext cx="1529231" cy="2055736"/>
                          </a:xfrm>
                          <a:prstGeom prst="rect"/>
                          <a:ln/>
                        </pic:spPr>
                      </pic:pic>
                    </a:graphicData>
                  </a:graphic>
                </wp:inline>
              </w:drawing>
            </w:r>
            <w:r w:rsidDel="00000000" w:rsidR="00000000" w:rsidRPr="00000000">
              <w:rPr>
                <w:rtl w:val="0"/>
              </w:rPr>
            </w:r>
          </w:p>
          <w:p w:rsidR="00000000" w:rsidDel="00000000" w:rsidP="00000000" w:rsidRDefault="00000000" w:rsidRPr="00000000" w14:paraId="00000049">
            <w:pPr>
              <w:spacing w:after="120" w:before="120" w:lineRule="auto"/>
              <w:ind w:left="120" w:right="120" w:firstLine="0"/>
              <w:contextualSpacing w:val="0"/>
              <w:rPr>
                <w:rFonts w:ascii="inherit" w:cs="inherit" w:eastAsia="inherit" w:hAnsi="inherit"/>
                <w:color w:val="000000"/>
              </w:rPr>
            </w:pPr>
            <w:r w:rsidDel="00000000" w:rsidR="00000000" w:rsidRPr="00000000">
              <w:rPr>
                <w:rFonts w:ascii="inherit" w:cs="inherit" w:eastAsia="inherit" w:hAnsi="inherit"/>
                <w:color w:val="000000"/>
              </w:rPr>
              <w:drawing>
                <wp:inline distB="0" distT="0" distL="0" distR="0">
                  <wp:extent cx="1733550" cy="1049655"/>
                  <wp:effectExtent b="0" l="0" r="0" t="0"/>
                  <wp:docPr id="4" name="image8.png"/>
                  <a:graphic>
                    <a:graphicData uri="http://schemas.openxmlformats.org/drawingml/2006/picture">
                      <pic:pic>
                        <pic:nvPicPr>
                          <pic:cNvPr id="0" name="image8.png"/>
                          <pic:cNvPicPr preferRelativeResize="0"/>
                        </pic:nvPicPr>
                        <pic:blipFill>
                          <a:blip r:embed="rId13"/>
                          <a:srcRect b="0" l="0" r="0" t="0"/>
                          <a:stretch>
                            <a:fillRect/>
                          </a:stretch>
                        </pic:blipFill>
                        <pic:spPr>
                          <a:xfrm>
                            <a:off x="0" y="0"/>
                            <a:ext cx="1733550" cy="1049655"/>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4A">
      <w:pPr>
        <w:pStyle w:val="Heading1"/>
        <w:contextualSpacing w:val="0"/>
        <w:rPr/>
      </w:pPr>
      <w:r w:rsidDel="00000000" w:rsidR="00000000" w:rsidRPr="00000000">
        <w:rPr>
          <w:rtl w:val="0"/>
        </w:rPr>
      </w:r>
    </w:p>
    <w:p w:rsidR="00000000" w:rsidDel="00000000" w:rsidP="00000000" w:rsidRDefault="00000000" w:rsidRPr="00000000" w14:paraId="0000004B">
      <w:pPr>
        <w:pStyle w:val="Heading1"/>
        <w:contextualSpacing w:val="0"/>
        <w:rPr/>
      </w:pPr>
      <w:r w:rsidDel="00000000" w:rsidR="00000000" w:rsidRPr="00000000">
        <w:rPr>
          <w:rtl w:val="0"/>
        </w:rPr>
        <w:t xml:space="preserve">Additional reference books:</w:t>
      </w:r>
    </w:p>
    <w:p w:rsidR="00000000" w:rsidDel="00000000" w:rsidP="00000000" w:rsidRDefault="00000000" w:rsidRPr="00000000" w14:paraId="0000004C">
      <w:pPr>
        <w:contextualSpacing w:val="0"/>
        <w:rPr/>
      </w:pPr>
      <w:r w:rsidDel="00000000" w:rsidR="00000000" w:rsidRPr="00000000">
        <w:rPr>
          <w:rtl w:val="0"/>
        </w:rPr>
      </w:r>
    </w:p>
    <w:p w:rsidR="00000000" w:rsidDel="00000000" w:rsidP="00000000" w:rsidRDefault="00000000" w:rsidRPr="00000000" w14:paraId="0000004D">
      <w:pPr>
        <w:contextualSpacing w:val="0"/>
        <w:rPr/>
      </w:pPr>
      <w:r w:rsidDel="00000000" w:rsidR="00000000" w:rsidRPr="00000000">
        <w:rPr>
          <w:rtl w:val="0"/>
        </w:rPr>
        <w:t xml:space="preserve">Fabrication Engineering at the Micro- and Nanoscale, Third Edition</w:t>
      </w:r>
    </w:p>
    <w:p w:rsidR="00000000" w:rsidDel="00000000" w:rsidP="00000000" w:rsidRDefault="00000000" w:rsidRPr="00000000" w14:paraId="0000004E">
      <w:pPr>
        <w:contextualSpacing w:val="0"/>
        <w:rPr/>
      </w:pPr>
      <w:r w:rsidDel="00000000" w:rsidR="00000000" w:rsidRPr="00000000">
        <w:rPr>
          <w:rtl w:val="0"/>
        </w:rPr>
        <w:t xml:space="preserve">Stephen A. Campbell</w:t>
      </w:r>
    </w:p>
    <w:p w:rsidR="00000000" w:rsidDel="00000000" w:rsidP="00000000" w:rsidRDefault="00000000" w:rsidRPr="00000000" w14:paraId="0000004F">
      <w:pPr>
        <w:contextualSpacing w:val="0"/>
        <w:rPr/>
      </w:pPr>
      <w:r w:rsidDel="00000000" w:rsidR="00000000" w:rsidRPr="00000000">
        <w:rPr>
          <w:rtl w:val="0"/>
        </w:rPr>
        <w:t xml:space="preserve">Oxford Press, paperback ($85.45 new at bookstore)</w:t>
      </w:r>
    </w:p>
    <w:p w:rsidR="00000000" w:rsidDel="00000000" w:rsidP="00000000" w:rsidRDefault="00000000" w:rsidRPr="00000000" w14:paraId="00000050">
      <w:pPr>
        <w:contextualSpacing w:val="0"/>
        <w:rPr/>
      </w:pPr>
      <w:r w:rsidDel="00000000" w:rsidR="00000000" w:rsidRPr="00000000">
        <w:rPr>
          <w:rtl w:val="0"/>
        </w:rPr>
        <w:t xml:space="preserve">ISBN 978-0-1-9532017-6</w:t>
      </w:r>
    </w:p>
    <w:p w:rsidR="00000000" w:rsidDel="00000000" w:rsidP="00000000" w:rsidRDefault="00000000" w:rsidRPr="00000000" w14:paraId="00000051">
      <w:pPr>
        <w:contextualSpacing w:val="0"/>
        <w:rPr/>
      </w:pPr>
      <w:r w:rsidDel="00000000" w:rsidR="00000000" w:rsidRPr="00000000">
        <w:rPr>
          <w:rtl w:val="0"/>
        </w:rPr>
      </w:r>
    </w:p>
    <w:p w:rsidR="00000000" w:rsidDel="00000000" w:rsidP="00000000" w:rsidRDefault="00000000" w:rsidRPr="00000000" w14:paraId="00000052">
      <w:pPr>
        <w:contextualSpacing w:val="0"/>
        <w:rPr/>
      </w:pPr>
      <w:r w:rsidDel="00000000" w:rsidR="00000000" w:rsidRPr="00000000">
        <w:rPr>
          <w:rtl w:val="0"/>
        </w:rPr>
        <w:t xml:space="preserve">Fundamentals of Semiconductor Fabrication (about $80)</w:t>
      </w:r>
    </w:p>
    <w:p w:rsidR="00000000" w:rsidDel="00000000" w:rsidP="00000000" w:rsidRDefault="00000000" w:rsidRPr="00000000" w14:paraId="00000053">
      <w:pPr>
        <w:contextualSpacing w:val="0"/>
        <w:rPr/>
      </w:pPr>
      <w:r w:rsidDel="00000000" w:rsidR="00000000" w:rsidRPr="00000000">
        <w:rPr>
          <w:rtl w:val="0"/>
        </w:rPr>
        <w:t xml:space="preserve">Gary S. May and Simon M. Sze</w:t>
      </w:r>
    </w:p>
    <w:p w:rsidR="00000000" w:rsidDel="00000000" w:rsidP="00000000" w:rsidRDefault="00000000" w:rsidRPr="00000000" w14:paraId="00000054">
      <w:pPr>
        <w:contextualSpacing w:val="0"/>
        <w:rPr/>
      </w:pPr>
      <w:r w:rsidDel="00000000" w:rsidR="00000000" w:rsidRPr="00000000">
        <w:rPr>
          <w:rtl w:val="0"/>
        </w:rPr>
        <w:t xml:space="preserve">Wiley 2004, ISBN 0-471-23279-3</w:t>
      </w:r>
    </w:p>
    <w:p w:rsidR="00000000" w:rsidDel="00000000" w:rsidP="00000000" w:rsidRDefault="00000000" w:rsidRPr="00000000" w14:paraId="00000055">
      <w:pPr>
        <w:contextualSpacing w:val="0"/>
        <w:rPr>
          <w:rFonts w:ascii="Merriweather Sans" w:cs="Merriweather Sans" w:eastAsia="Merriweather Sans" w:hAnsi="Merriweather Sans"/>
          <w:color w:val="000000"/>
          <w:sz w:val="26"/>
          <w:szCs w:val="26"/>
        </w:rPr>
      </w:pPr>
      <w:r w:rsidDel="00000000" w:rsidR="00000000" w:rsidRPr="00000000">
        <w:rPr>
          <w:rtl w:val="0"/>
        </w:rPr>
      </w:r>
    </w:p>
    <w:p w:rsidR="00000000" w:rsidDel="00000000" w:rsidP="00000000" w:rsidRDefault="00000000" w:rsidRPr="00000000" w14:paraId="00000056">
      <w:pPr>
        <w:contextualSpacing w:val="0"/>
        <w:rPr/>
      </w:pPr>
      <w:r w:rsidDel="00000000" w:rsidR="00000000" w:rsidRPr="00000000">
        <w:rPr>
          <w:rtl w:val="0"/>
        </w:rPr>
        <w:t xml:space="preserve">Silicon VLSI Technology (Fundamentals, Practice and Modeling) by James D. Plummer, Michael D. Deal, and Peter B. Griffin</w:t>
      </w:r>
    </w:p>
    <w:p w:rsidR="00000000" w:rsidDel="00000000" w:rsidP="00000000" w:rsidRDefault="00000000" w:rsidRPr="00000000" w14:paraId="00000057">
      <w:pPr>
        <w:contextualSpacing w:val="0"/>
        <w:rPr/>
      </w:pPr>
      <w:r w:rsidDel="00000000" w:rsidR="00000000" w:rsidRPr="00000000">
        <w:rPr>
          <w:rtl w:val="0"/>
        </w:rPr>
      </w:r>
    </w:p>
    <w:p w:rsidR="00000000" w:rsidDel="00000000" w:rsidP="00000000" w:rsidRDefault="00000000" w:rsidRPr="00000000" w14:paraId="00000058">
      <w:pPr>
        <w:ind w:right="120"/>
        <w:contextualSpacing w:val="0"/>
        <w:rPr>
          <w:color w:val="000000"/>
        </w:rPr>
      </w:pPr>
      <w:r w:rsidDel="00000000" w:rsidR="00000000" w:rsidRPr="00000000">
        <w:rPr>
          <w:color w:val="000000"/>
          <w:rtl w:val="0"/>
        </w:rPr>
        <w:t xml:space="preserve">Introduction to Microelectronic Fabrication, 2nd edition</w:t>
      </w:r>
    </w:p>
    <w:p w:rsidR="00000000" w:rsidDel="00000000" w:rsidP="00000000" w:rsidRDefault="00000000" w:rsidRPr="00000000" w14:paraId="00000059">
      <w:pPr>
        <w:ind w:right="120"/>
        <w:contextualSpacing w:val="0"/>
        <w:rPr>
          <w:color w:val="000000"/>
        </w:rPr>
      </w:pPr>
      <w:r w:rsidDel="00000000" w:rsidR="00000000" w:rsidRPr="00000000">
        <w:rPr>
          <w:color w:val="000000"/>
          <w:rtl w:val="0"/>
        </w:rPr>
        <w:t xml:space="preserve">Richard C. Jaegar (1988)</w:t>
      </w:r>
    </w:p>
    <w:p w:rsidR="00000000" w:rsidDel="00000000" w:rsidP="00000000" w:rsidRDefault="00000000" w:rsidRPr="00000000" w14:paraId="0000005A">
      <w:pPr>
        <w:ind w:right="120"/>
        <w:contextualSpacing w:val="0"/>
        <w:rPr/>
      </w:pPr>
      <w:r w:rsidDel="00000000" w:rsidR="00000000" w:rsidRPr="00000000">
        <w:rPr>
          <w:color w:val="000000"/>
          <w:rtl w:val="0"/>
        </w:rPr>
        <w:t xml:space="preserve">Addison-Wesley Modular Series on Solid State Devices, ISBN 9780201444940</w:t>
      </w:r>
      <w:r w:rsidDel="00000000" w:rsidR="00000000" w:rsidRPr="00000000">
        <w:rPr>
          <w:rtl w:val="0"/>
        </w:rPr>
      </w:r>
    </w:p>
    <w:p w:rsidR="00000000" w:rsidDel="00000000" w:rsidP="00000000" w:rsidRDefault="00000000" w:rsidRPr="00000000" w14:paraId="0000005B">
      <w:pPr>
        <w:contextualSpacing w:val="0"/>
        <w:rPr/>
      </w:pPr>
      <w:r w:rsidDel="00000000" w:rsidR="00000000" w:rsidRPr="00000000">
        <w:rPr>
          <w:rtl w:val="0"/>
        </w:rPr>
      </w:r>
    </w:p>
    <w:p w:rsidR="00000000" w:rsidDel="00000000" w:rsidP="00000000" w:rsidRDefault="00000000" w:rsidRPr="00000000" w14:paraId="0000005C">
      <w:pPr>
        <w:contextualSpacing w:val="0"/>
        <w:rPr>
          <w:b w:val="1"/>
        </w:rPr>
      </w:pPr>
      <w:r w:rsidDel="00000000" w:rsidR="00000000" w:rsidRPr="00000000">
        <w:rPr>
          <w:rtl w:val="0"/>
        </w:rPr>
      </w:r>
    </w:p>
    <w:sectPr>
      <w:pgSz w:h="15840" w:w="12240"/>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Merriweather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inheri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
    <w:lvl w:ilvl="0">
      <w:start w:val="301"/>
      <w:numFmt w:val="bullet"/>
      <w:lvlText w:val="-"/>
      <w:lvlJc w:val="left"/>
      <w:pPr>
        <w:ind w:left="480" w:hanging="360"/>
      </w:pPr>
      <w:rPr>
        <w:rFonts w:ascii="Arial" w:cs="Arial" w:eastAsia="Arial" w:hAnsi="Arial"/>
      </w:rPr>
    </w:lvl>
    <w:lvl w:ilvl="1">
      <w:start w:val="1"/>
      <w:numFmt w:val="bullet"/>
      <w:lvlText w:val="o"/>
      <w:lvlJc w:val="left"/>
      <w:pPr>
        <w:ind w:left="1200" w:hanging="360"/>
      </w:pPr>
      <w:rPr>
        <w:rFonts w:ascii="Courier New" w:cs="Courier New" w:eastAsia="Courier New" w:hAnsi="Courier New"/>
      </w:rPr>
    </w:lvl>
    <w:lvl w:ilvl="2">
      <w:start w:val="1"/>
      <w:numFmt w:val="bullet"/>
      <w:lvlText w:val="▪"/>
      <w:lvlJc w:val="left"/>
      <w:pPr>
        <w:ind w:left="1920" w:hanging="360"/>
      </w:pPr>
      <w:rPr>
        <w:rFonts w:ascii="Noto Sans Symbols" w:cs="Noto Sans Symbols" w:eastAsia="Noto Sans Symbols" w:hAnsi="Noto Sans Symbols"/>
      </w:rPr>
    </w:lvl>
    <w:lvl w:ilvl="3">
      <w:start w:val="1"/>
      <w:numFmt w:val="bullet"/>
      <w:lvlText w:val="●"/>
      <w:lvlJc w:val="left"/>
      <w:pPr>
        <w:ind w:left="2640" w:hanging="360"/>
      </w:pPr>
      <w:rPr>
        <w:rFonts w:ascii="Noto Sans Symbols" w:cs="Noto Sans Symbols" w:eastAsia="Noto Sans Symbols" w:hAnsi="Noto Sans Symbols"/>
      </w:rPr>
    </w:lvl>
    <w:lvl w:ilvl="4">
      <w:start w:val="1"/>
      <w:numFmt w:val="bullet"/>
      <w:lvlText w:val="o"/>
      <w:lvlJc w:val="left"/>
      <w:pPr>
        <w:ind w:left="3360" w:hanging="360"/>
      </w:pPr>
      <w:rPr>
        <w:rFonts w:ascii="Courier New" w:cs="Courier New" w:eastAsia="Courier New" w:hAnsi="Courier New"/>
      </w:rPr>
    </w:lvl>
    <w:lvl w:ilvl="5">
      <w:start w:val="1"/>
      <w:numFmt w:val="bullet"/>
      <w:lvlText w:val="▪"/>
      <w:lvlJc w:val="left"/>
      <w:pPr>
        <w:ind w:left="4080" w:hanging="360"/>
      </w:pPr>
      <w:rPr>
        <w:rFonts w:ascii="Noto Sans Symbols" w:cs="Noto Sans Symbols" w:eastAsia="Noto Sans Symbols" w:hAnsi="Noto Sans Symbols"/>
      </w:rPr>
    </w:lvl>
    <w:lvl w:ilvl="6">
      <w:start w:val="1"/>
      <w:numFmt w:val="bullet"/>
      <w:lvlText w:val="●"/>
      <w:lvlJc w:val="left"/>
      <w:pPr>
        <w:ind w:left="4800" w:hanging="360"/>
      </w:pPr>
      <w:rPr>
        <w:rFonts w:ascii="Noto Sans Symbols" w:cs="Noto Sans Symbols" w:eastAsia="Noto Sans Symbols" w:hAnsi="Noto Sans Symbols"/>
      </w:rPr>
    </w:lvl>
    <w:lvl w:ilvl="7">
      <w:start w:val="1"/>
      <w:numFmt w:val="bullet"/>
      <w:lvlText w:val="o"/>
      <w:lvlJc w:val="left"/>
      <w:pPr>
        <w:ind w:left="5520" w:hanging="360"/>
      </w:pPr>
      <w:rPr>
        <w:rFonts w:ascii="Courier New" w:cs="Courier New" w:eastAsia="Courier New" w:hAnsi="Courier New"/>
      </w:rPr>
    </w:lvl>
    <w:lvl w:ilvl="8">
      <w:start w:val="1"/>
      <w:numFmt w:val="bullet"/>
      <w:lvlText w:val="▪"/>
      <w:lvlJc w:val="left"/>
      <w:pPr>
        <w:ind w:left="624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before="120" w:lineRule="auto"/>
    </w:pPr>
    <w:rPr>
      <w:b w:val="1"/>
      <w:sz w:val="24"/>
      <w:szCs w:val="2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44.0" w:type="dxa"/>
        <w:left w:w="144.0" w:type="dxa"/>
        <w:bottom w:w="144.0" w:type="dxa"/>
        <w:right w:w="144.0" w:type="dxa"/>
      </w:tblCellMar>
    </w:tblPr>
  </w:style>
  <w:style w:type="table" w:styleId="Table3">
    <w:basedOn w:val="TableNormal"/>
    <w:tblPr>
      <w:tblStyleRowBandSize w:val="1"/>
      <w:tblStyleColBandSize w:val="1"/>
      <w:tblCellMar>
        <w:top w:w="144.0" w:type="dxa"/>
        <w:left w:w="144.0" w:type="dxa"/>
        <w:bottom w:w="144.0" w:type="dxa"/>
        <w:right w:w="144.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7.png"/><Relationship Id="rId10" Type="http://schemas.openxmlformats.org/officeDocument/2006/relationships/hyperlink" Target="about:blank" TargetMode="External"/><Relationship Id="rId13" Type="http://schemas.openxmlformats.org/officeDocument/2006/relationships/image" Target="media/image8.png"/><Relationship Id="rId12" Type="http://schemas.openxmlformats.org/officeDocument/2006/relationships/image" Target="media/image6.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jpg"/><Relationship Id="rId5" Type="http://schemas.openxmlformats.org/officeDocument/2006/relationships/styles" Target="styles.xml"/><Relationship Id="rId6" Type="http://schemas.openxmlformats.org/officeDocument/2006/relationships/hyperlink" Target="https://maps.google.com/maps?q=Computer+and+Space+Sciences+Bldg.%2c+College+Park%2c+MD&amp;z=18" TargetMode="External"/><Relationship Id="rId7" Type="http://schemas.openxmlformats.org/officeDocument/2006/relationships/hyperlink" Target="https://myelms.umd.edu/courses/1179073" TargetMode="External"/><Relationship Id="rId8" Type="http://schemas.openxmlformats.org/officeDocument/2006/relationships/hyperlink" Target="mailto:rubloff@umd.ed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erriweatherSans-regular.ttf"/><Relationship Id="rId2" Type="http://schemas.openxmlformats.org/officeDocument/2006/relationships/font" Target="fonts/MerriweatherSans-bold.ttf"/><Relationship Id="rId3" Type="http://schemas.openxmlformats.org/officeDocument/2006/relationships/font" Target="fonts/MerriweatherSans-italic.ttf"/><Relationship Id="rId4" Type="http://schemas.openxmlformats.org/officeDocument/2006/relationships/font" Target="fonts/Merriweather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